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8CB27">
      <w:pPr>
        <w:spacing w:before="0" w:after="0" w:line="600" w:lineRule="exact"/>
        <w:jc w:val="both"/>
      </w:pPr>
      <w:r>
        <w:rPr>
          <w:rFonts w:ascii="黑体" w:hAnsi="黑体" w:eastAsia="黑体"/>
          <w:b w:val="0"/>
          <w:color w:val="000000"/>
          <w:sz w:val="32"/>
        </w:rPr>
        <w:t>附件1</w:t>
      </w:r>
    </w:p>
    <w:p w14:paraId="4106F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ascii="仿宋_GB2312" w:hAnsi="仿宋_GB2312" w:eastAsia="仿宋_GB2312"/>
          <w:b w:val="0"/>
          <w:color w:val="000000"/>
          <w:sz w:val="32"/>
        </w:rPr>
      </w:pPr>
    </w:p>
    <w:p w14:paraId="66F39A93">
      <w:pPr>
        <w:spacing w:before="0" w:after="0" w:line="680" w:lineRule="exact"/>
        <w:jc w:val="center"/>
      </w:pPr>
      <w:r>
        <w:rPr>
          <w:rFonts w:ascii="方正小标宋简体" w:hAnsi="方正小标宋简体" w:eastAsia="方正小标宋简体"/>
          <w:b w:val="0"/>
          <w:color w:val="000000"/>
          <w:sz w:val="44"/>
        </w:rPr>
        <w:t>河南省职业技术教育学会2026年度</w:t>
      </w:r>
    </w:p>
    <w:p w14:paraId="50B7B6D7">
      <w:pPr>
        <w:spacing w:before="0" w:after="0" w:line="680" w:lineRule="exact"/>
        <w:jc w:val="center"/>
      </w:pPr>
      <w:r>
        <w:rPr>
          <w:rFonts w:ascii="方正小标宋简体" w:hAnsi="方正小标宋简体" w:eastAsia="方正小标宋简体"/>
          <w:b w:val="0"/>
          <w:color w:val="000000"/>
          <w:sz w:val="44"/>
        </w:rPr>
        <w:t>课题选题指南</w:t>
      </w:r>
    </w:p>
    <w:p w14:paraId="6AC2E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ascii="仿宋_GB2312" w:hAnsi="仿宋_GB2312" w:eastAsia="仿宋_GB2312"/>
          <w:b w:val="0"/>
          <w:color w:val="000000"/>
          <w:sz w:val="32"/>
        </w:rPr>
      </w:pPr>
    </w:p>
    <w:p w14:paraId="67EC0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ascii="仿宋_GB2312" w:hAnsi="仿宋_GB2312" w:eastAsia="仿宋_GB2312"/>
          <w:b w:val="0"/>
          <w:color w:val="000000"/>
          <w:sz w:val="32"/>
        </w:rPr>
      </w:pPr>
      <w:r>
        <w:rPr>
          <w:rFonts w:ascii="仿宋_GB2312" w:hAnsi="仿宋_GB2312" w:eastAsia="仿宋_GB2312"/>
          <w:b w:val="0"/>
          <w:color w:val="000000"/>
          <w:sz w:val="32"/>
        </w:rPr>
        <w:t>《选题指南》依据《教育强国建设规划纲要（2024—2035年）》</w:t>
      </w:r>
      <w:r>
        <w:rPr>
          <w:rFonts w:hint="eastAsia" w:ascii="仿宋_GB2312" w:hAnsi="仿宋_GB2312" w:eastAsia="仿宋_GB2312"/>
          <w:b w:val="0"/>
          <w:color w:val="000000"/>
          <w:sz w:val="32"/>
        </w:rPr>
        <w:t>《关</w:t>
      </w:r>
      <w:bookmarkStart w:id="0" w:name="_GoBack"/>
      <w:bookmarkEnd w:id="0"/>
      <w:r>
        <w:rPr>
          <w:rFonts w:hint="eastAsia" w:ascii="仿宋_GB2312" w:hAnsi="仿宋_GB2312" w:eastAsia="仿宋_GB2312"/>
          <w:b w:val="0"/>
          <w:color w:val="000000"/>
          <w:sz w:val="32"/>
        </w:rPr>
        <w:t>于发展新质生产力的意见》，《教育部等五部门关于印发“人工智能+教育”行动计划的通知》《教育部关于深化职业教育教学关键要素改革的意见》</w:t>
      </w:r>
      <w:r>
        <w:rPr>
          <w:rFonts w:ascii="仿宋_GB2312" w:hAnsi="仿宋_GB2312" w:eastAsia="仿宋_GB2312"/>
          <w:b w:val="0"/>
          <w:color w:val="000000"/>
          <w:sz w:val="32"/>
        </w:rPr>
        <w:t>以及</w:t>
      </w:r>
      <w:r>
        <w:rPr>
          <w:rFonts w:hint="eastAsia" w:eastAsia="仿宋_GB2312"/>
          <w:b w:val="0"/>
          <w:color w:val="000000"/>
          <w:sz w:val="32"/>
          <w:lang w:val="en-US" w:eastAsia="zh-CN"/>
        </w:rPr>
        <w:t>等</w:t>
      </w:r>
      <w:r>
        <w:rPr>
          <w:rFonts w:ascii="仿宋_GB2312" w:hAnsi="仿宋_GB2312" w:eastAsia="仿宋_GB2312"/>
          <w:b w:val="0"/>
          <w:color w:val="000000"/>
          <w:sz w:val="32"/>
        </w:rPr>
        <w:t>河南省职业教育和继续教育教学改革有关部署编制，供2026年度学会研究课题选题参考。</w:t>
      </w:r>
      <w:r>
        <w:rPr>
          <w:rFonts w:hint="eastAsia" w:ascii="仿宋_GB2312" w:hAnsi="仿宋_GB2312" w:eastAsia="仿宋_GB2312"/>
          <w:b w:val="0"/>
          <w:color w:val="000000"/>
          <w:sz w:val="32"/>
        </w:rPr>
        <w:t>主要参考选题如下：</w:t>
      </w:r>
    </w:p>
    <w:p w14:paraId="21662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b w:val="0"/>
          <w:bCs w:val="0"/>
        </w:rPr>
      </w:pPr>
      <w:r>
        <w:rPr>
          <w:rFonts w:hint="eastAsia" w:ascii="楷体_GB2312" w:hAnsi="楷体_GB2312" w:eastAsia="楷体_GB2312"/>
          <w:b w:val="0"/>
          <w:bCs w:val="0"/>
          <w:color w:val="000000"/>
          <w:sz w:val="32"/>
          <w:lang w:val="en-US" w:eastAsia="zh-CN"/>
        </w:rPr>
        <w:t>一、</w:t>
      </w:r>
      <w:r>
        <w:rPr>
          <w:rFonts w:ascii="楷体_GB2312" w:hAnsi="楷体_GB2312" w:eastAsia="楷体_GB2312"/>
          <w:b w:val="0"/>
          <w:bCs w:val="0"/>
          <w:color w:val="000000"/>
          <w:sz w:val="32"/>
        </w:rPr>
        <w:t>教学关键要素联动改革研究</w:t>
      </w:r>
    </w:p>
    <w:p w14:paraId="33D92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eastAsia="仿宋_GB2312"/>
          <w:b w:val="0"/>
          <w:color w:val="000000"/>
          <w:sz w:val="32"/>
          <w:lang w:val="en-US" w:eastAsia="zh-CN"/>
        </w:rPr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1.专业群与区域重点产业链精准对接研究</w:t>
      </w:r>
    </w:p>
    <w:p w14:paraId="18C5C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2.</w:t>
      </w:r>
      <w:r>
        <w:rPr>
          <w:rFonts w:ascii="仿宋_GB2312" w:hAnsi="仿宋_GB2312" w:eastAsia="仿宋_GB2312"/>
          <w:b w:val="0"/>
          <w:color w:val="000000"/>
          <w:sz w:val="32"/>
        </w:rPr>
        <w:t>省级专业设置与产业发展匹配分析机制研究</w:t>
      </w:r>
    </w:p>
    <w:p w14:paraId="220D6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3.</w:t>
      </w:r>
      <w:r>
        <w:rPr>
          <w:rFonts w:ascii="仿宋_GB2312" w:hAnsi="仿宋_GB2312" w:eastAsia="仿宋_GB2312"/>
          <w:b w:val="0"/>
          <w:color w:val="000000"/>
          <w:sz w:val="32"/>
        </w:rPr>
        <w:t>对接头部企业典型生产任务的课程能力图谱绘制与应用研究</w:t>
      </w:r>
    </w:p>
    <w:p w14:paraId="34ADB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4.</w:t>
      </w:r>
      <w:r>
        <w:rPr>
          <w:rFonts w:ascii="仿宋_GB2312" w:hAnsi="仿宋_GB2312" w:eastAsia="仿宋_GB2312"/>
          <w:b w:val="0"/>
          <w:color w:val="000000"/>
          <w:sz w:val="32"/>
        </w:rPr>
        <w:t>课程综合化、模块化、项目化建设研究</w:t>
      </w:r>
    </w:p>
    <w:p w14:paraId="2873D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5.</w:t>
      </w:r>
      <w:r>
        <w:rPr>
          <w:rFonts w:ascii="仿宋_GB2312" w:hAnsi="仿宋_GB2312" w:eastAsia="仿宋_GB2312"/>
          <w:b w:val="0"/>
          <w:color w:val="000000"/>
          <w:sz w:val="32"/>
        </w:rPr>
        <w:t>活页式、工作手册式及数字教材开发与应用研究</w:t>
      </w:r>
    </w:p>
    <w:p w14:paraId="49310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6.</w:t>
      </w:r>
      <w:r>
        <w:rPr>
          <w:rFonts w:ascii="仿宋_GB2312" w:hAnsi="仿宋_GB2312" w:eastAsia="仿宋_GB2312"/>
          <w:b w:val="0"/>
          <w:color w:val="000000"/>
          <w:sz w:val="32"/>
        </w:rPr>
        <w:t>产业导师制度与大国工匠、技能大师入校任教机制研究</w:t>
      </w:r>
    </w:p>
    <w:p w14:paraId="69F59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7.</w:t>
      </w:r>
      <w:r>
        <w:rPr>
          <w:rFonts w:ascii="仿宋_GB2312" w:hAnsi="仿宋_GB2312" w:eastAsia="仿宋_GB2312"/>
          <w:b w:val="0"/>
          <w:color w:val="000000"/>
          <w:sz w:val="32"/>
        </w:rPr>
        <w:t>虚拟仿真实训基地与开放型区域产教融合实践中心建设研究</w:t>
      </w:r>
    </w:p>
    <w:p w14:paraId="5A472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ascii="仿宋_GB2312" w:hAnsi="仿宋_GB2312" w:eastAsia="仿宋_GB2312"/>
          <w:b w:val="0"/>
          <w:color w:val="000000"/>
          <w:sz w:val="32"/>
        </w:rPr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8.</w:t>
      </w:r>
      <w:r>
        <w:rPr>
          <w:rFonts w:ascii="仿宋_GB2312" w:hAnsi="仿宋_GB2312" w:eastAsia="仿宋_GB2312"/>
          <w:b w:val="0"/>
          <w:color w:val="000000"/>
          <w:sz w:val="32"/>
        </w:rPr>
        <w:t>企业技术资源开放与教学资源转化机制研究</w:t>
      </w:r>
    </w:p>
    <w:p w14:paraId="7CED4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/>
          <w:b w:val="0"/>
          <w:color w:val="000000"/>
          <w:sz w:val="32"/>
        </w:rPr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9.</w:t>
      </w:r>
      <w:r>
        <w:rPr>
          <w:rFonts w:hint="eastAsia" w:ascii="仿宋_GB2312" w:hAnsi="仿宋_GB2312" w:eastAsia="仿宋_GB2312"/>
          <w:b w:val="0"/>
          <w:color w:val="000000"/>
          <w:sz w:val="32"/>
        </w:rPr>
        <w:t>教育家精神引领高素质专业化教师队伍建设研究</w:t>
      </w:r>
    </w:p>
    <w:p w14:paraId="01D46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/>
          <w:b w:val="0"/>
          <w:color w:val="000000"/>
          <w:sz w:val="32"/>
        </w:rPr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10.</w:t>
      </w:r>
      <w:r>
        <w:rPr>
          <w:rFonts w:hint="eastAsia" w:ascii="仿宋_GB2312" w:hAnsi="仿宋_GB2312" w:eastAsia="仿宋_GB2312"/>
          <w:b w:val="0"/>
          <w:color w:val="000000"/>
          <w:sz w:val="32"/>
        </w:rPr>
        <w:t>教师企业实践与校企人才“双向流动”机制研究</w:t>
      </w:r>
    </w:p>
    <w:p w14:paraId="384D9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楷体" w:hAnsi="楷体" w:eastAsia="楷体" w:cs="楷体"/>
          <w:b w:val="0"/>
          <w:bCs w:val="0"/>
          <w:color w:val="000000"/>
          <w:sz w:val="32"/>
        </w:rPr>
      </w:pPr>
      <w:r>
        <w:rPr>
          <w:rFonts w:hint="eastAsia" w:ascii="楷体" w:hAnsi="楷体" w:eastAsia="楷体" w:cs="楷体"/>
          <w:b w:val="0"/>
          <w:bCs w:val="0"/>
          <w:color w:val="000000"/>
          <w:sz w:val="32"/>
          <w:lang w:val="en-US" w:eastAsia="zh-CN"/>
        </w:rPr>
        <w:t>二、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</w:rPr>
        <w:t>终身教育、乡村振兴与继续教育研究</w:t>
      </w:r>
    </w:p>
    <w:p w14:paraId="08FCE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/>
          <w:b w:val="0"/>
          <w:color w:val="000000"/>
          <w:sz w:val="32"/>
        </w:rPr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1.</w:t>
      </w:r>
      <w:r>
        <w:rPr>
          <w:rFonts w:hint="eastAsia" w:ascii="仿宋_GB2312" w:hAnsi="仿宋_GB2312" w:eastAsia="仿宋_GB2312"/>
          <w:b w:val="0"/>
          <w:color w:val="000000"/>
          <w:sz w:val="32"/>
        </w:rPr>
        <w:t>人口结构变化背景下终身教育体系构建研究</w:t>
      </w:r>
    </w:p>
    <w:p w14:paraId="2B668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/>
          <w:b w:val="0"/>
          <w:color w:val="000000"/>
          <w:sz w:val="32"/>
        </w:rPr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2.</w:t>
      </w:r>
      <w:r>
        <w:rPr>
          <w:rFonts w:hint="eastAsia" w:ascii="仿宋_GB2312" w:hAnsi="仿宋_GB2312" w:eastAsia="仿宋_GB2312"/>
          <w:b w:val="0"/>
          <w:color w:val="000000"/>
          <w:sz w:val="32"/>
        </w:rPr>
        <w:t>学历教育与职业培训并举研究</w:t>
      </w:r>
    </w:p>
    <w:p w14:paraId="06AA2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/>
          <w:b w:val="0"/>
          <w:color w:val="000000"/>
          <w:sz w:val="32"/>
        </w:rPr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3.</w:t>
      </w:r>
      <w:r>
        <w:rPr>
          <w:rFonts w:hint="eastAsia" w:ascii="仿宋_GB2312" w:hAnsi="仿宋_GB2312" w:eastAsia="仿宋_GB2312"/>
          <w:b w:val="0"/>
          <w:color w:val="000000"/>
          <w:sz w:val="32"/>
        </w:rPr>
        <w:t>社区教育、老年教育发展研究</w:t>
      </w:r>
    </w:p>
    <w:p w14:paraId="42F10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/>
          <w:b w:val="0"/>
          <w:color w:val="000000"/>
          <w:sz w:val="32"/>
        </w:rPr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4.</w:t>
      </w:r>
      <w:r>
        <w:rPr>
          <w:rFonts w:hint="eastAsia" w:ascii="仿宋_GB2312" w:hAnsi="仿宋_GB2312" w:eastAsia="仿宋_GB2312"/>
          <w:b w:val="0"/>
          <w:color w:val="000000"/>
          <w:sz w:val="32"/>
        </w:rPr>
        <w:t>职业教育服务乡村全面振兴研究</w:t>
      </w:r>
    </w:p>
    <w:p w14:paraId="35DDA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/>
          <w:b w:val="0"/>
          <w:color w:val="000000"/>
          <w:sz w:val="32"/>
        </w:rPr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5.</w:t>
      </w:r>
      <w:r>
        <w:rPr>
          <w:rFonts w:hint="eastAsia" w:ascii="仿宋_GB2312" w:hAnsi="仿宋_GB2312" w:eastAsia="仿宋_GB2312"/>
          <w:b w:val="0"/>
          <w:color w:val="000000"/>
          <w:sz w:val="32"/>
        </w:rPr>
        <w:t>绿色技能培养与“双碳”目标下职业教育响应研究</w:t>
      </w:r>
    </w:p>
    <w:p w14:paraId="05858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/>
          <w:b w:val="0"/>
          <w:color w:val="000000"/>
          <w:sz w:val="32"/>
        </w:rPr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6.</w:t>
      </w:r>
      <w:r>
        <w:rPr>
          <w:rFonts w:hint="eastAsia" w:ascii="仿宋_GB2312" w:hAnsi="仿宋_GB2312" w:eastAsia="仿宋_GB2312"/>
          <w:b w:val="0"/>
          <w:color w:val="000000"/>
          <w:sz w:val="32"/>
        </w:rPr>
        <w:t>县域中等职业教育发展定位与服务产业效能研究</w:t>
      </w:r>
    </w:p>
    <w:p w14:paraId="5D834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/>
          <w:b w:val="0"/>
          <w:color w:val="000000"/>
          <w:sz w:val="32"/>
        </w:rPr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7.</w:t>
      </w:r>
      <w:r>
        <w:rPr>
          <w:rFonts w:hint="eastAsia" w:ascii="仿宋_GB2312" w:hAnsi="仿宋_GB2312" w:eastAsia="仿宋_GB2312"/>
          <w:b w:val="0"/>
          <w:color w:val="000000"/>
          <w:sz w:val="32"/>
        </w:rPr>
        <w:t>继续教育数字化资源共建共享机制研究</w:t>
      </w:r>
    </w:p>
    <w:p w14:paraId="4F399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b w:val="0"/>
          <w:bCs w:val="0"/>
        </w:rPr>
      </w:pPr>
      <w:r>
        <w:rPr>
          <w:rFonts w:hint="eastAsia" w:ascii="楷体_GB2312" w:hAnsi="楷体_GB2312" w:eastAsia="楷体_GB2312"/>
          <w:b w:val="0"/>
          <w:bCs w:val="0"/>
          <w:color w:val="000000"/>
          <w:sz w:val="32"/>
          <w:lang w:val="en-US" w:eastAsia="zh-CN"/>
        </w:rPr>
        <w:t>三、</w:t>
      </w:r>
      <w:r>
        <w:rPr>
          <w:rFonts w:ascii="楷体_GB2312" w:hAnsi="楷体_GB2312" w:eastAsia="楷体_GB2312"/>
          <w:b w:val="0"/>
          <w:bCs w:val="0"/>
          <w:color w:val="000000"/>
          <w:sz w:val="32"/>
        </w:rPr>
        <w:t>“人工智能+教育”与职业教育变革研究</w:t>
      </w:r>
    </w:p>
    <w:p w14:paraId="2F0BE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1.</w:t>
      </w:r>
      <w:r>
        <w:rPr>
          <w:rFonts w:ascii="仿宋_GB2312" w:hAnsi="仿宋_GB2312" w:eastAsia="仿宋_GB2312"/>
          <w:b w:val="0"/>
          <w:color w:val="000000"/>
          <w:sz w:val="32"/>
        </w:rPr>
        <w:t>人工智能对职业教育的结构性影响研判与应对策略研究</w:t>
      </w:r>
    </w:p>
    <w:p w14:paraId="50AD7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2.</w:t>
      </w:r>
      <w:r>
        <w:rPr>
          <w:rFonts w:ascii="仿宋_GB2312" w:hAnsi="仿宋_GB2312" w:eastAsia="仿宋_GB2312"/>
          <w:b w:val="0"/>
          <w:color w:val="000000"/>
          <w:sz w:val="32"/>
        </w:rPr>
        <w:t>生成式人工智能赋能教学设计、学情分析与教学评价研究</w:t>
      </w:r>
    </w:p>
    <w:p w14:paraId="3466C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3.</w:t>
      </w:r>
      <w:r>
        <w:rPr>
          <w:rFonts w:ascii="仿宋_GB2312" w:hAnsi="仿宋_GB2312" w:eastAsia="仿宋_GB2312"/>
          <w:b w:val="0"/>
          <w:color w:val="000000"/>
          <w:sz w:val="32"/>
        </w:rPr>
        <w:t>人机协同教学模式与课堂形态变革研究</w:t>
      </w:r>
    </w:p>
    <w:p w14:paraId="27655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4.</w:t>
      </w:r>
      <w:r>
        <w:rPr>
          <w:rFonts w:ascii="仿宋_GB2312" w:hAnsi="仿宋_GB2312" w:eastAsia="仿宋_GB2312"/>
          <w:b w:val="0"/>
          <w:color w:val="000000"/>
          <w:sz w:val="32"/>
        </w:rPr>
        <w:t>智能教学系统支持下学生个性化学习路径研究</w:t>
      </w:r>
    </w:p>
    <w:p w14:paraId="25612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5.</w:t>
      </w:r>
      <w:r>
        <w:rPr>
          <w:rFonts w:ascii="仿宋_GB2312" w:hAnsi="仿宋_GB2312" w:eastAsia="仿宋_GB2312"/>
          <w:b w:val="0"/>
          <w:color w:val="000000"/>
          <w:sz w:val="32"/>
        </w:rPr>
        <w:t>智能时代职业院校学生数字素养与创新思维培养研究</w:t>
      </w:r>
    </w:p>
    <w:p w14:paraId="6260D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6.</w:t>
      </w:r>
      <w:r>
        <w:rPr>
          <w:rFonts w:ascii="仿宋_GB2312" w:hAnsi="仿宋_GB2312" w:eastAsia="仿宋_GB2312"/>
          <w:b w:val="0"/>
          <w:color w:val="000000"/>
          <w:sz w:val="32"/>
        </w:rPr>
        <w:t>人工智能教育应用的伦理规范与风险防范研究（学术诚信、数据安全、隐私保护）</w:t>
      </w:r>
    </w:p>
    <w:p w14:paraId="4D5EB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7.</w:t>
      </w:r>
      <w:r>
        <w:rPr>
          <w:rFonts w:ascii="仿宋_GB2312" w:hAnsi="仿宋_GB2312" w:eastAsia="仿宋_GB2312"/>
          <w:b w:val="0"/>
          <w:color w:val="000000"/>
          <w:sz w:val="32"/>
        </w:rPr>
        <w:t>人工智能赋能职业教育教科研范式变革研究</w:t>
      </w:r>
    </w:p>
    <w:p w14:paraId="4B079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b w:val="0"/>
          <w:bCs w:val="0"/>
        </w:rPr>
      </w:pPr>
      <w:r>
        <w:rPr>
          <w:rFonts w:hint="eastAsia" w:ascii="楷体_GB2312" w:hAnsi="楷体_GB2312" w:eastAsia="楷体_GB2312"/>
          <w:b w:val="0"/>
          <w:bCs w:val="0"/>
          <w:color w:val="000000"/>
          <w:sz w:val="32"/>
          <w:lang w:val="en-US" w:eastAsia="zh-CN"/>
        </w:rPr>
        <w:t>四、</w:t>
      </w:r>
      <w:r>
        <w:rPr>
          <w:rFonts w:ascii="楷体_GB2312" w:hAnsi="楷体_GB2312" w:eastAsia="楷体_GB2312"/>
          <w:b w:val="0"/>
          <w:bCs w:val="0"/>
          <w:color w:val="000000"/>
          <w:sz w:val="32"/>
        </w:rPr>
        <w:t>产教融合与高技能人才集群培养研究</w:t>
      </w:r>
    </w:p>
    <w:p w14:paraId="554AE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1.</w:t>
      </w:r>
      <w:r>
        <w:rPr>
          <w:rFonts w:ascii="仿宋_GB2312" w:hAnsi="仿宋_GB2312" w:eastAsia="仿宋_GB2312"/>
          <w:b w:val="0"/>
          <w:color w:val="000000"/>
          <w:sz w:val="32"/>
        </w:rPr>
        <w:t>市域产教联合体实体化运作机制研究</w:t>
      </w:r>
    </w:p>
    <w:p w14:paraId="3BCB7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2.</w:t>
      </w:r>
      <w:r>
        <w:rPr>
          <w:rFonts w:ascii="仿宋_GB2312" w:hAnsi="仿宋_GB2312" w:eastAsia="仿宋_GB2312"/>
          <w:b w:val="0"/>
          <w:color w:val="000000"/>
          <w:sz w:val="32"/>
        </w:rPr>
        <w:t>行业产教融合共同体建设与效能评价研究</w:t>
      </w:r>
    </w:p>
    <w:p w14:paraId="02EE9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3.</w:t>
      </w:r>
      <w:r>
        <w:rPr>
          <w:rFonts w:ascii="仿宋_GB2312" w:hAnsi="仿宋_GB2312" w:eastAsia="仿宋_GB2312"/>
          <w:b w:val="0"/>
          <w:color w:val="000000"/>
          <w:sz w:val="32"/>
        </w:rPr>
        <w:t>高技能人才集群培养计划的省域、校级实施路径研究</w:t>
      </w:r>
    </w:p>
    <w:p w14:paraId="7E436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4.</w:t>
      </w:r>
      <w:r>
        <w:rPr>
          <w:rFonts w:ascii="仿宋_GB2312" w:hAnsi="仿宋_GB2312" w:eastAsia="仿宋_GB2312"/>
          <w:b w:val="0"/>
          <w:color w:val="000000"/>
          <w:sz w:val="32"/>
        </w:rPr>
        <w:t>现代产业学院、现场工程师学院建设与运行机制研究</w:t>
      </w:r>
    </w:p>
    <w:p w14:paraId="631A8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5.</w:t>
      </w:r>
      <w:r>
        <w:rPr>
          <w:rFonts w:ascii="仿宋_GB2312" w:hAnsi="仿宋_GB2312" w:eastAsia="仿宋_GB2312"/>
          <w:b w:val="0"/>
          <w:color w:val="000000"/>
          <w:sz w:val="32"/>
        </w:rPr>
        <w:t>岗课赛证创融通育人机制研究</w:t>
      </w:r>
    </w:p>
    <w:p w14:paraId="69147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6.</w:t>
      </w:r>
      <w:r>
        <w:rPr>
          <w:rFonts w:ascii="仿宋_GB2312" w:hAnsi="仿宋_GB2312" w:eastAsia="仿宋_GB2312"/>
          <w:b w:val="0"/>
          <w:color w:val="000000"/>
          <w:sz w:val="32"/>
        </w:rPr>
        <w:t>职业教育服务“7+28+N”重点产业链路径研究</w:t>
      </w:r>
    </w:p>
    <w:p w14:paraId="6D330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7.</w:t>
      </w:r>
      <w:r>
        <w:rPr>
          <w:rFonts w:ascii="仿宋_GB2312" w:hAnsi="仿宋_GB2312" w:eastAsia="仿宋_GB2312"/>
          <w:b w:val="0"/>
          <w:color w:val="000000"/>
          <w:sz w:val="32"/>
        </w:rPr>
        <w:t>职业教育赋能新质生产力发展的机制研究</w:t>
      </w:r>
    </w:p>
    <w:p w14:paraId="0DD7A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b w:val="0"/>
          <w:bCs w:val="0"/>
        </w:rPr>
      </w:pPr>
      <w:r>
        <w:rPr>
          <w:rFonts w:hint="eastAsia" w:ascii="楷体_GB2312" w:hAnsi="楷体_GB2312" w:eastAsia="楷体_GB2312"/>
          <w:b w:val="0"/>
          <w:bCs w:val="0"/>
          <w:color w:val="000000"/>
          <w:sz w:val="32"/>
          <w:lang w:val="en-US" w:eastAsia="zh-CN"/>
        </w:rPr>
        <w:t>五、</w:t>
      </w:r>
      <w:r>
        <w:rPr>
          <w:rFonts w:ascii="楷体_GB2312" w:hAnsi="楷体_GB2312" w:eastAsia="楷体_GB2312"/>
          <w:b w:val="0"/>
          <w:bCs w:val="0"/>
          <w:color w:val="000000"/>
          <w:sz w:val="32"/>
        </w:rPr>
        <w:t>人才培养模式与贯通培养研究</w:t>
      </w:r>
    </w:p>
    <w:p w14:paraId="62ADA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1.</w:t>
      </w:r>
      <w:r>
        <w:rPr>
          <w:rFonts w:ascii="仿宋_GB2312" w:hAnsi="仿宋_GB2312" w:eastAsia="仿宋_GB2312"/>
          <w:b w:val="0"/>
          <w:color w:val="000000"/>
          <w:sz w:val="32"/>
        </w:rPr>
        <w:t>中高本一体化人才培养模式与衔接机制研究</w:t>
      </w:r>
    </w:p>
    <w:p w14:paraId="6E40F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2.</w:t>
      </w:r>
      <w:r>
        <w:rPr>
          <w:rFonts w:ascii="仿宋_GB2312" w:hAnsi="仿宋_GB2312" w:eastAsia="仿宋_GB2312"/>
          <w:b w:val="0"/>
          <w:color w:val="000000"/>
          <w:sz w:val="32"/>
        </w:rPr>
        <w:t>职普融通实现路径与制度设计研究</w:t>
      </w:r>
    </w:p>
    <w:p w14:paraId="0BAE7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3.</w:t>
      </w:r>
      <w:r>
        <w:rPr>
          <w:rFonts w:ascii="仿宋_GB2312" w:hAnsi="仿宋_GB2312" w:eastAsia="仿宋_GB2312"/>
          <w:b w:val="0"/>
          <w:color w:val="000000"/>
          <w:sz w:val="32"/>
        </w:rPr>
        <w:t>基于职业能力图谱的人才培养方案动态优化研究</w:t>
      </w:r>
    </w:p>
    <w:p w14:paraId="2CF35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4.</w:t>
      </w:r>
      <w:r>
        <w:rPr>
          <w:rFonts w:ascii="仿宋_GB2312" w:hAnsi="仿宋_GB2312" w:eastAsia="仿宋_GB2312"/>
          <w:b w:val="0"/>
          <w:color w:val="000000"/>
          <w:sz w:val="32"/>
        </w:rPr>
        <w:t>满足不同生源需求的多样化培养模式研究</w:t>
      </w:r>
    </w:p>
    <w:p w14:paraId="4CA0D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5.</w:t>
      </w:r>
      <w:r>
        <w:rPr>
          <w:rFonts w:ascii="仿宋_GB2312" w:hAnsi="仿宋_GB2312" w:eastAsia="仿宋_GB2312"/>
          <w:b w:val="0"/>
          <w:color w:val="000000"/>
          <w:sz w:val="32"/>
        </w:rPr>
        <w:t>新就业形态下学生职业适应能力提升策略研究</w:t>
      </w:r>
    </w:p>
    <w:p w14:paraId="4A327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6.</w:t>
      </w:r>
      <w:r>
        <w:rPr>
          <w:rFonts w:ascii="仿宋_GB2312" w:hAnsi="仿宋_GB2312" w:eastAsia="仿宋_GB2312"/>
          <w:b w:val="0"/>
          <w:color w:val="000000"/>
          <w:sz w:val="32"/>
        </w:rPr>
        <w:t>创新创业教育与专业教育融合研究</w:t>
      </w:r>
    </w:p>
    <w:p w14:paraId="4A14D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7.</w:t>
      </w:r>
      <w:r>
        <w:rPr>
          <w:rFonts w:ascii="仿宋_GB2312" w:hAnsi="仿宋_GB2312" w:eastAsia="仿宋_GB2312"/>
          <w:b w:val="0"/>
          <w:color w:val="000000"/>
          <w:sz w:val="32"/>
        </w:rPr>
        <w:t>职业院校促进学生高质量就业研究</w:t>
      </w:r>
    </w:p>
    <w:p w14:paraId="3E37C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b w:val="0"/>
          <w:bCs w:val="0"/>
        </w:rPr>
      </w:pPr>
      <w:r>
        <w:rPr>
          <w:rFonts w:hint="eastAsia" w:ascii="楷体_GB2312" w:hAnsi="楷体_GB2312" w:eastAsia="楷体_GB2312"/>
          <w:b w:val="0"/>
          <w:bCs w:val="0"/>
          <w:color w:val="000000"/>
          <w:sz w:val="32"/>
          <w:lang w:val="en-US" w:eastAsia="zh-CN"/>
        </w:rPr>
        <w:t>六、</w:t>
      </w:r>
      <w:r>
        <w:rPr>
          <w:rFonts w:ascii="楷体_GB2312" w:hAnsi="楷体_GB2312" w:eastAsia="楷体_GB2312"/>
          <w:b w:val="0"/>
          <w:bCs w:val="0"/>
          <w:color w:val="000000"/>
          <w:sz w:val="32"/>
        </w:rPr>
        <w:t>立德树人、思政育人与就业创业研究</w:t>
      </w:r>
    </w:p>
    <w:p w14:paraId="373A6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1.</w:t>
      </w:r>
      <w:r>
        <w:rPr>
          <w:rFonts w:ascii="仿宋_GB2312" w:hAnsi="仿宋_GB2312" w:eastAsia="仿宋_GB2312"/>
          <w:b w:val="0"/>
          <w:color w:val="000000"/>
          <w:sz w:val="32"/>
        </w:rPr>
        <w:t>德技并修、工学结合育人机制研究</w:t>
      </w:r>
    </w:p>
    <w:p w14:paraId="0A4A0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2.</w:t>
      </w:r>
      <w:r>
        <w:rPr>
          <w:rFonts w:ascii="仿宋_GB2312" w:hAnsi="仿宋_GB2312" w:eastAsia="仿宋_GB2312"/>
          <w:b w:val="0"/>
          <w:color w:val="000000"/>
          <w:sz w:val="32"/>
        </w:rPr>
        <w:t>“大思政课”格局下产教融合协同育人机制研究</w:t>
      </w:r>
    </w:p>
    <w:p w14:paraId="39022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3.</w:t>
      </w:r>
      <w:r>
        <w:rPr>
          <w:rFonts w:ascii="仿宋_GB2312" w:hAnsi="仿宋_GB2312" w:eastAsia="仿宋_GB2312"/>
          <w:b w:val="0"/>
          <w:color w:val="000000"/>
          <w:sz w:val="32"/>
        </w:rPr>
        <w:t>劳模精神、劳动精神、工匠精神融入专业教育教学研究</w:t>
      </w:r>
    </w:p>
    <w:p w14:paraId="12530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4.</w:t>
      </w:r>
      <w:r>
        <w:rPr>
          <w:rFonts w:ascii="仿宋_GB2312" w:hAnsi="仿宋_GB2312" w:eastAsia="仿宋_GB2312"/>
          <w:b w:val="0"/>
          <w:color w:val="000000"/>
          <w:sz w:val="32"/>
        </w:rPr>
        <w:t>职业院校学生思想政治素养发展性评价体系构建研究</w:t>
      </w:r>
    </w:p>
    <w:p w14:paraId="6B19A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5.</w:t>
      </w:r>
      <w:r>
        <w:rPr>
          <w:rFonts w:ascii="仿宋_GB2312" w:hAnsi="仿宋_GB2312" w:eastAsia="仿宋_GB2312"/>
          <w:b w:val="0"/>
          <w:color w:val="000000"/>
          <w:sz w:val="32"/>
        </w:rPr>
        <w:t>困难群体毕业生精准帮扶机制研究</w:t>
      </w:r>
    </w:p>
    <w:p w14:paraId="4A096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6.</w:t>
      </w:r>
      <w:r>
        <w:rPr>
          <w:rFonts w:ascii="仿宋_GB2312" w:hAnsi="仿宋_GB2312" w:eastAsia="仿宋_GB2312"/>
          <w:b w:val="0"/>
          <w:color w:val="000000"/>
          <w:sz w:val="32"/>
        </w:rPr>
        <w:t>人才培养与就业供需适配的动态耦合机制研究</w:t>
      </w:r>
    </w:p>
    <w:p w14:paraId="7BBC3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7.</w:t>
      </w:r>
      <w:r>
        <w:rPr>
          <w:rFonts w:ascii="仿宋_GB2312" w:hAnsi="仿宋_GB2312" w:eastAsia="仿宋_GB2312"/>
          <w:b w:val="0"/>
          <w:color w:val="000000"/>
          <w:sz w:val="32"/>
        </w:rPr>
        <w:t>职业院校学生心理健康与职业适应支持体系研究</w:t>
      </w:r>
    </w:p>
    <w:p w14:paraId="33867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b w:val="0"/>
          <w:bCs w:val="0"/>
        </w:rPr>
      </w:pPr>
      <w:r>
        <w:rPr>
          <w:rFonts w:hint="eastAsia" w:ascii="楷体_GB2312" w:hAnsi="楷体_GB2312" w:eastAsia="楷体_GB2312"/>
          <w:b w:val="0"/>
          <w:bCs w:val="0"/>
          <w:color w:val="000000"/>
          <w:sz w:val="32"/>
          <w:lang w:val="en-US" w:eastAsia="zh-CN"/>
        </w:rPr>
        <w:t>七、</w:t>
      </w:r>
      <w:r>
        <w:rPr>
          <w:rFonts w:ascii="楷体_GB2312" w:hAnsi="楷体_GB2312" w:eastAsia="楷体_GB2312"/>
          <w:b w:val="0"/>
          <w:bCs w:val="0"/>
          <w:color w:val="000000"/>
          <w:sz w:val="32"/>
        </w:rPr>
        <w:t>自选研究</w:t>
      </w:r>
    </w:p>
    <w:p w14:paraId="574D1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围绕职业教育改革发展中具有重大理论价值和实践意义、但未列入上述方向的问题开展研究。自选选题须经所在单位教科研管理部门审核，并在申报表中说明选题依据和研究价值。</w:t>
      </w:r>
    </w:p>
    <w:p w14:paraId="3857E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0" w:line="560" w:lineRule="exact"/>
        <w:ind w:firstLine="641"/>
        <w:jc w:val="both"/>
        <w:textAlignment w:val="auto"/>
        <w:rPr>
          <w:rFonts w:hint="eastAsia" w:ascii="楷体" w:hAnsi="楷体" w:eastAsia="楷体" w:cs="楷体"/>
          <w:lang w:eastAsia="zh-CN"/>
        </w:rPr>
      </w:pPr>
      <w:r>
        <w:rPr>
          <w:rFonts w:hint="eastAsia" w:ascii="楷体" w:hAnsi="楷体" w:eastAsia="楷体" w:cs="楷体"/>
          <w:b w:val="0"/>
          <w:color w:val="000000"/>
          <w:sz w:val="32"/>
          <w:lang w:val="en-US" w:eastAsia="zh-CN"/>
        </w:rPr>
        <w:t>八、</w:t>
      </w:r>
      <w:r>
        <w:rPr>
          <w:rFonts w:hint="eastAsia" w:ascii="楷体" w:hAnsi="楷体" w:eastAsia="楷体" w:cs="楷体"/>
          <w:b w:val="0"/>
          <w:color w:val="000000"/>
          <w:sz w:val="32"/>
        </w:rPr>
        <w:t>《选题指南》使用说明</w:t>
      </w:r>
    </w:p>
    <w:p w14:paraId="088E4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1.</w:t>
      </w:r>
      <w:r>
        <w:rPr>
          <w:rFonts w:ascii="仿宋_GB2312" w:hAnsi="仿宋_GB2312" w:eastAsia="仿宋_GB2312"/>
          <w:b w:val="0"/>
          <w:color w:val="000000"/>
          <w:sz w:val="32"/>
        </w:rPr>
        <w:t>《选题指南》所列条目均为选题方向，不是具体课题名称。申报者应结合</w:t>
      </w:r>
      <w:r>
        <w:rPr>
          <w:rFonts w:hint="eastAsia" w:eastAsia="仿宋_GB2312"/>
          <w:b w:val="0"/>
          <w:color w:val="000000"/>
          <w:sz w:val="32"/>
          <w:lang w:val="en-US" w:eastAsia="zh-CN"/>
        </w:rPr>
        <w:t>本单位</w:t>
      </w:r>
      <w:r>
        <w:rPr>
          <w:rFonts w:ascii="仿宋_GB2312" w:hAnsi="仿宋_GB2312" w:eastAsia="仿宋_GB2312"/>
          <w:b w:val="0"/>
          <w:color w:val="000000"/>
          <w:sz w:val="32"/>
        </w:rPr>
        <w:t>、本</w:t>
      </w:r>
      <w:r>
        <w:rPr>
          <w:rFonts w:hint="eastAsia" w:eastAsia="仿宋_GB2312"/>
          <w:b w:val="0"/>
          <w:color w:val="000000"/>
          <w:sz w:val="32"/>
          <w:lang w:val="en-US" w:eastAsia="zh-CN"/>
        </w:rPr>
        <w:t>学科</w:t>
      </w:r>
      <w:r>
        <w:rPr>
          <w:rFonts w:ascii="仿宋_GB2312" w:hAnsi="仿宋_GB2312" w:eastAsia="仿宋_GB2312"/>
          <w:b w:val="0"/>
          <w:color w:val="000000"/>
          <w:sz w:val="32"/>
        </w:rPr>
        <w:t>专业和个人研究专长，在指南方向下进一步凝练研究问题、确定具体课题名称和研究内容。</w:t>
      </w:r>
    </w:p>
    <w:p w14:paraId="54DEF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2.</w:t>
      </w:r>
      <w:r>
        <w:rPr>
          <w:rFonts w:ascii="仿宋_GB2312" w:hAnsi="仿宋_GB2312" w:eastAsia="仿宋_GB2312"/>
          <w:b w:val="0"/>
          <w:color w:val="000000"/>
          <w:sz w:val="32"/>
        </w:rPr>
        <w:t>申报时在《立项申报表》“研究方向”栏填写对应选题编号（如</w:t>
      </w:r>
      <w:r>
        <w:rPr>
          <w:rFonts w:hint="eastAsia" w:eastAsia="仿宋_GB2312"/>
          <w:b w:val="0"/>
          <w:color w:val="000000"/>
          <w:sz w:val="32"/>
          <w:lang w:val="en-US" w:eastAsia="zh-CN"/>
        </w:rPr>
        <w:t>二.1</w:t>
      </w:r>
      <w:r>
        <w:rPr>
          <w:rFonts w:ascii="仿宋_GB2312" w:hAnsi="仿宋_GB2312" w:eastAsia="仿宋_GB2312"/>
          <w:b w:val="0"/>
          <w:color w:val="000000"/>
          <w:sz w:val="32"/>
        </w:rPr>
        <w:t>），自选研究填</w:t>
      </w:r>
      <w:r>
        <w:rPr>
          <w:rFonts w:hint="eastAsia" w:eastAsia="仿宋_GB2312"/>
          <w:b w:val="0"/>
          <w:color w:val="000000"/>
          <w:sz w:val="32"/>
          <w:lang w:val="en-US" w:eastAsia="zh-CN"/>
        </w:rPr>
        <w:t>七.1</w:t>
      </w:r>
      <w:r>
        <w:rPr>
          <w:rFonts w:ascii="仿宋_GB2312" w:hAnsi="仿宋_GB2312" w:eastAsia="仿宋_GB2312"/>
          <w:b w:val="0"/>
          <w:color w:val="000000"/>
          <w:sz w:val="32"/>
        </w:rPr>
        <w:t>。</w:t>
      </w:r>
    </w:p>
    <w:p w14:paraId="7465F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</w:pPr>
      <w:r>
        <w:rPr>
          <w:rFonts w:hint="eastAsia" w:eastAsia="仿宋_GB2312"/>
          <w:b w:val="0"/>
          <w:color w:val="000000"/>
          <w:sz w:val="32"/>
          <w:lang w:val="en-US" w:eastAsia="zh-CN"/>
        </w:rPr>
        <w:t>3.</w:t>
      </w:r>
      <w:r>
        <w:rPr>
          <w:rFonts w:ascii="仿宋_GB2312" w:hAnsi="仿宋_GB2312" w:eastAsia="仿宋_GB2312"/>
          <w:b w:val="0"/>
          <w:color w:val="000000"/>
          <w:sz w:val="32"/>
        </w:rPr>
        <w:t>近3年已有相同或相近立项课题、且无实质性创新发展的，原则上不再重复立项。</w:t>
      </w:r>
    </w:p>
    <w:sectPr>
      <w:pgSz w:w="11906" w:h="16838"/>
      <w:pgMar w:top="2041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F550D4-562D-4B17-A071-BF489BD187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B7A8DC68-B1EB-46C5-A89C-32C54F55E585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1D8B87E-30D3-4CE1-81C2-290BFE09F74F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9FBD909-C5AC-410A-9786-732C07FAAAF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A3026FF5-291C-42CD-A14F-4D124244550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566BCD00-1A8B-4257-9210-58440CD18C12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6ADFD516-6BA4-4EFF-B721-E5833C698BDB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7E123A"/>
    <w:rsid w:val="03BA61F3"/>
    <w:rsid w:val="056B1EC6"/>
    <w:rsid w:val="071333A8"/>
    <w:rsid w:val="0D324095"/>
    <w:rsid w:val="112A63E0"/>
    <w:rsid w:val="11BB3624"/>
    <w:rsid w:val="141A7089"/>
    <w:rsid w:val="151C63E2"/>
    <w:rsid w:val="18CB209A"/>
    <w:rsid w:val="18D078F4"/>
    <w:rsid w:val="1A2A0E1F"/>
    <w:rsid w:val="1E9E42AF"/>
    <w:rsid w:val="20194AB6"/>
    <w:rsid w:val="21A60522"/>
    <w:rsid w:val="21CF4187"/>
    <w:rsid w:val="229067C3"/>
    <w:rsid w:val="235B390E"/>
    <w:rsid w:val="26826131"/>
    <w:rsid w:val="269821F5"/>
    <w:rsid w:val="26F929A0"/>
    <w:rsid w:val="28321D4D"/>
    <w:rsid w:val="28D84C1C"/>
    <w:rsid w:val="2DAE7101"/>
    <w:rsid w:val="2F486EA2"/>
    <w:rsid w:val="2FFC10AE"/>
    <w:rsid w:val="32D528F6"/>
    <w:rsid w:val="330E04D1"/>
    <w:rsid w:val="37235104"/>
    <w:rsid w:val="3A0606BF"/>
    <w:rsid w:val="3B0D0D25"/>
    <w:rsid w:val="3E541FD3"/>
    <w:rsid w:val="403027DE"/>
    <w:rsid w:val="403D46F7"/>
    <w:rsid w:val="40505291"/>
    <w:rsid w:val="48235EC9"/>
    <w:rsid w:val="4AA93C99"/>
    <w:rsid w:val="4E781049"/>
    <w:rsid w:val="4E787A8B"/>
    <w:rsid w:val="4F8A7C0C"/>
    <w:rsid w:val="52C938E1"/>
    <w:rsid w:val="53990C1F"/>
    <w:rsid w:val="55C93117"/>
    <w:rsid w:val="566D3B8E"/>
    <w:rsid w:val="5CC07617"/>
    <w:rsid w:val="5F69359F"/>
    <w:rsid w:val="64772CF6"/>
    <w:rsid w:val="67C22120"/>
    <w:rsid w:val="6B850073"/>
    <w:rsid w:val="6B92518A"/>
    <w:rsid w:val="6E586C17"/>
    <w:rsid w:val="70DF469F"/>
    <w:rsid w:val="74964153"/>
    <w:rsid w:val="74D835BF"/>
    <w:rsid w:val="77BE5534"/>
    <w:rsid w:val="781B127F"/>
    <w:rsid w:val="7AB4245F"/>
    <w:rsid w:val="7AC5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Theme="minorEastAsia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420</Words>
  <Characters>443</Characters>
  <Lines>0</Lines>
  <Paragraphs>0</Paragraphs>
  <TotalTime>12</TotalTime>
  <ScaleCrop>false</ScaleCrop>
  <LinksUpToDate>false</LinksUpToDate>
  <CharactersWithSpaces>443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ヾ</cp:lastModifiedBy>
  <dcterms:modified xsi:type="dcterms:W3CDTF">2026-10-21T10:17:06Z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eyJoZGlkIjoiMTNkOGZkZDVkNDM1MTQxNmU4NDExZmMzZDU4NTA1OTQiLCJ1c2VySWQiOiIxMjMyNTk2MDc3In0=</vt:lpwstr>
  </property>
  <property fmtid="{D5CDD505-2E9C-101B-9397-08002B2CF9AE}" pid="3" name="KSOProductBuildVer">
    <vt:lpwstr>2052-12.1.0.29161</vt:lpwstr>
  </property>
  <property fmtid="{D5CDD505-2E9C-101B-9397-08002B2CF9AE}" pid="4" name="ICV">
    <vt:lpwstr>A244D886336045D2BABD93DC7304884F_12</vt:lpwstr>
  </property>
</Properties>
</file>